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885" w:rsidRDefault="00D67885" w:rsidP="00D67885">
      <w:pPr>
        <w:pStyle w:val="jcg"/>
        <w:rPr>
          <w:rFonts w:ascii="Calibri" w:hAnsi="Calibri" w:cs="Times New Roman"/>
          <w:b/>
          <w:sz w:val="20"/>
          <w:szCs w:val="20"/>
        </w:rPr>
      </w:pPr>
      <w:r>
        <w:rPr>
          <w:rFonts w:ascii="Calibri" w:hAnsi="Calibri" w:cs="Times New Roman"/>
          <w:b/>
          <w:sz w:val="20"/>
          <w:szCs w:val="20"/>
        </w:rPr>
        <w:t xml:space="preserve">Les </w:t>
      </w:r>
      <w:r w:rsidRPr="001276DC">
        <w:rPr>
          <w:rFonts w:ascii="Calibri" w:hAnsi="Calibri" w:cs="Times New Roman"/>
          <w:b/>
          <w:sz w:val="20"/>
          <w:szCs w:val="20"/>
        </w:rPr>
        <w:t xml:space="preserve">Laboratoires </w:t>
      </w:r>
      <w:r>
        <w:rPr>
          <w:rFonts w:ascii="Calibri" w:hAnsi="Calibri" w:cs="Times New Roman"/>
          <w:b/>
          <w:sz w:val="20"/>
          <w:szCs w:val="20"/>
        </w:rPr>
        <w:t>participant</w:t>
      </w:r>
    </w:p>
    <w:p w:rsidR="00D67885" w:rsidRPr="001276DC" w:rsidRDefault="00D67885" w:rsidP="00D67885">
      <w:pPr>
        <w:pStyle w:val="jcg"/>
        <w:rPr>
          <w:rFonts w:ascii="Calibri" w:hAnsi="Calibri" w:cs="Times New Roman"/>
          <w:b/>
          <w:sz w:val="20"/>
          <w:szCs w:val="20"/>
        </w:rPr>
      </w:pPr>
    </w:p>
    <w:p w:rsidR="00D67885" w:rsidRPr="001276DC" w:rsidRDefault="00D67885" w:rsidP="00D67885">
      <w:pPr>
        <w:pStyle w:val="jcg"/>
        <w:rPr>
          <w:rFonts w:ascii="Calibri" w:hAnsi="Calibri" w:cs="Times New Roman"/>
          <w:b/>
          <w:sz w:val="20"/>
          <w:szCs w:val="20"/>
        </w:rPr>
      </w:pPr>
      <w:r w:rsidRPr="001276DC">
        <w:rPr>
          <w:rFonts w:ascii="Calibri" w:hAnsi="Calibri" w:cs="Times New Roman"/>
          <w:b/>
          <w:sz w:val="20"/>
          <w:szCs w:val="20"/>
        </w:rPr>
        <w:t>Le laboratoire LE2I UMR CNRS 6306</w:t>
      </w:r>
    </w:p>
    <w:p w:rsidR="00D67885" w:rsidRPr="001276DC" w:rsidRDefault="00D67885" w:rsidP="00D67885">
      <w:pPr>
        <w:pStyle w:val="jcg"/>
        <w:jc w:val="both"/>
        <w:rPr>
          <w:rFonts w:ascii="Calibri" w:hAnsi="Calibri" w:cs="Times New Roman"/>
          <w:sz w:val="20"/>
          <w:szCs w:val="20"/>
        </w:rPr>
      </w:pPr>
      <w:r w:rsidRPr="001276DC">
        <w:rPr>
          <w:rFonts w:ascii="Calibri" w:hAnsi="Calibri" w:cs="Times New Roman"/>
          <w:sz w:val="20"/>
          <w:szCs w:val="20"/>
        </w:rPr>
        <w:t>Le laboratoire d’Electronique, d’Informatique et de l’Image (Le2i) est un laboratoire de recherche sous tutelle de l’Université de Bourgogne, du CNRS, ainsi que, pour l’équipe d’immersion virtuelle située à Chalon-sur-Saône, d’Arts et Métiers Paris Tech. Après avoir été reconnu Formation de Recherche en Evolution (F.R.E.) en 2001, il est devenu Unité Mixte de Recherches (U.M.R. 5158) en 2003, et a été reconduit en 2007. Avec 61 enseignant-chercheurs produisant proposés au bilan pour la période d’activité 01/01/2006-01/05/2010, 14 ingénieurs techniciens et personnels d’encadrement administratif statutaires, et 90 doctorants et post-doctorants (au 29/06/2011), le LE2I est le seul laboratoire en Sciences et Technologies de l’Information et des Communications (STIC) de la région Bourgogne. Il couvre un large spectre d’activités au sein de trois départements, Informatique, Electronique et Vision.</w:t>
      </w:r>
    </w:p>
    <w:p w:rsidR="00D67885" w:rsidRPr="001276DC" w:rsidRDefault="00D67885" w:rsidP="00D67885">
      <w:pPr>
        <w:pStyle w:val="jcg"/>
        <w:jc w:val="both"/>
        <w:rPr>
          <w:rFonts w:ascii="Calibri" w:hAnsi="Calibri" w:cs="Times New Roman"/>
          <w:sz w:val="20"/>
          <w:szCs w:val="20"/>
        </w:rPr>
      </w:pPr>
      <w:r w:rsidRPr="001276DC">
        <w:rPr>
          <w:rFonts w:ascii="Calibri" w:hAnsi="Calibri" w:cs="Times New Roman"/>
          <w:sz w:val="20"/>
          <w:szCs w:val="20"/>
        </w:rPr>
        <w:t xml:space="preserve">Le département Vision du Le2i, impliqué dans ce projet, est constitué de 40 enseignants-chercheurs (12 PR, 2 PU-PH, 23 MCF et 3 MCU-PH) issus des sections 27, 60, 61, 63 du CNU, 3 ITA CNRS et 1 Assistant-Ingénieur de l’Université de Bourgogne, répartis sur 3 sites géographiques (Dijon, Le Creusot, Auxerre). Il anime une activité de recherche sans doute unique en France alliant imagerie non-conventionnelle et vision par ordinateur (imagerie physique et vision géométrique), poursuit des recherches amont reconnues en traitement du signal, des images et des objets </w:t>
      </w:r>
      <w:r w:rsidRPr="001276DC">
        <w:rPr>
          <w:rFonts w:ascii="Calibri" w:hAnsi="Calibri" w:cs="Times New Roman"/>
          <w:i/>
          <w:sz w:val="20"/>
          <w:szCs w:val="20"/>
        </w:rPr>
        <w:t>n</w:t>
      </w:r>
      <w:r w:rsidRPr="001276DC">
        <w:rPr>
          <w:rFonts w:ascii="Calibri" w:hAnsi="Calibri" w:cs="Times New Roman"/>
          <w:sz w:val="20"/>
          <w:szCs w:val="20"/>
        </w:rPr>
        <w:t>-dimensionnels et mène des recherches à fort effet structurant, à l’interface entre les communautés STIC et SHS et Santé. Il maintient également une activité soutenue en transfert de technologie, attestée par des brevets nationaux et internationaux, par l’incubation de deux sociétés et par la signature de nombreux contrats de prestation et de recherche appliquée.</w:t>
      </w:r>
    </w:p>
    <w:p w:rsidR="00D67885" w:rsidRPr="001276DC" w:rsidRDefault="00D67885" w:rsidP="00D67885">
      <w:pPr>
        <w:pStyle w:val="jcg"/>
        <w:jc w:val="both"/>
        <w:rPr>
          <w:rFonts w:ascii="Calibri" w:hAnsi="Calibri" w:cs="Times New Roman"/>
          <w:sz w:val="20"/>
          <w:szCs w:val="20"/>
        </w:rPr>
      </w:pPr>
      <w:r w:rsidRPr="001276DC">
        <w:rPr>
          <w:rFonts w:ascii="Calibri" w:hAnsi="Calibri" w:cs="Times New Roman"/>
          <w:sz w:val="20"/>
          <w:szCs w:val="20"/>
        </w:rPr>
        <w:t xml:space="preserve">Liens : </w:t>
      </w:r>
      <w:hyperlink r:id="rId4" w:history="1">
        <w:r w:rsidRPr="001276DC">
          <w:rPr>
            <w:rStyle w:val="Hyperlink"/>
            <w:rFonts w:ascii="Calibri" w:hAnsi="Calibri" w:cs="Times New Roman"/>
            <w:sz w:val="20"/>
            <w:szCs w:val="20"/>
          </w:rPr>
          <w:t>http://le2i.cnrs.fr</w:t>
        </w:r>
      </w:hyperlink>
    </w:p>
    <w:p w:rsidR="00D67885" w:rsidRPr="001276DC" w:rsidRDefault="00D67885" w:rsidP="00D67885">
      <w:pPr>
        <w:pStyle w:val="Heading1"/>
        <w:rPr>
          <w:rFonts w:ascii="Calibri" w:hAnsi="Calibri"/>
          <w:sz w:val="20"/>
        </w:rPr>
      </w:pPr>
      <w:r w:rsidRPr="001276DC">
        <w:rPr>
          <w:rFonts w:ascii="Calibri" w:hAnsi="Calibri"/>
          <w:sz w:val="20"/>
        </w:rPr>
        <w:t>Le laboratoire d’archéozoologie de l’UMR ARTeHIS 6298</w:t>
      </w:r>
    </w:p>
    <w:p w:rsidR="00D67885" w:rsidRPr="001276DC" w:rsidRDefault="00D67885" w:rsidP="00D67885">
      <w:pPr>
        <w:rPr>
          <w:rFonts w:ascii="Calibri" w:hAnsi="Calibri"/>
          <w:sz w:val="20"/>
        </w:rPr>
      </w:pPr>
      <w:r w:rsidRPr="001276DC">
        <w:rPr>
          <w:rFonts w:ascii="Calibri" w:hAnsi="Calibri"/>
          <w:sz w:val="20"/>
        </w:rPr>
        <w:t>Le laboratoire Archéologie, Terre, Histoire et Sociétés (ARTeHIS UMR 6298) est une unité mixte de recherche placée sous la triple tutelle du CNRS (Institut des Sciences Humaines et Sociales et Institut Ecologie et Environnement), de l’Université de Bourgogne et du Ministère de la Culture et de la Communication. Il est lié avec l’INRAP par une convention de partenariat scientifique.</w:t>
      </w:r>
    </w:p>
    <w:p w:rsidR="00D67885" w:rsidRPr="001276DC" w:rsidRDefault="00D67885" w:rsidP="00D67885">
      <w:pPr>
        <w:rPr>
          <w:rFonts w:ascii="Calibri" w:hAnsi="Calibri"/>
          <w:sz w:val="20"/>
        </w:rPr>
      </w:pPr>
      <w:r w:rsidRPr="001276DC">
        <w:rPr>
          <w:rFonts w:ascii="Calibri" w:hAnsi="Calibri"/>
          <w:sz w:val="20"/>
        </w:rPr>
        <w:t xml:space="preserve">Le laboratoire ARTeHIS a pour principal objet l’étude des sociétés humaines dans le temps long, de la Préhistoire à nos jours. Ses champs de recherche se situent au croisement des sciences humaines et sociales et des sciences de la vie, de la terre et de l’environnement. Ils intéressent l’archéologie, l’histoire, l’histoire de l’art, la géoarchéologie et les sciences de l’environnement. Le Laboratoire comprend environ 90 membres statutaires, une soixantaine de doctorants et plus de 70 collaborateurs, répartis sur 4 sites : Dijon (Côte d’Or), Glux-en-Glenne / EPCC, Bibracte (Nièvre), Auxerre (Centre d’Etudes Médiévales) et Sens (Cerep-Musée de Sens) (Yonne). Depuis 2004, Le laboratoire d’archéozoologie est installé dans les locaux de l’UMR. Le laboratoire est destiné à la formation par la recherche, et sert de cadre à des stages de divers niveaux, de la classe de 4e au Master 2, ainsi qu’à des doctorats. </w:t>
      </w:r>
    </w:p>
    <w:p w:rsidR="00D67885" w:rsidRPr="001276DC" w:rsidRDefault="00D67885" w:rsidP="00D67885">
      <w:pPr>
        <w:rPr>
          <w:rFonts w:ascii="Calibri" w:hAnsi="Calibri"/>
          <w:sz w:val="20"/>
        </w:rPr>
      </w:pPr>
      <w:r w:rsidRPr="001276DC">
        <w:rPr>
          <w:rFonts w:ascii="Calibri" w:hAnsi="Calibri"/>
          <w:sz w:val="20"/>
        </w:rPr>
        <w:t xml:space="preserve">Lien : </w:t>
      </w:r>
      <w:hyperlink r:id="rId5" w:history="1">
        <w:r w:rsidRPr="001276DC">
          <w:rPr>
            <w:rStyle w:val="Hyperlink"/>
            <w:rFonts w:ascii="Calibri" w:hAnsi="Calibri"/>
            <w:sz w:val="20"/>
          </w:rPr>
          <w:t>http://www.artehis-cnrs.fr/L-unite</w:t>
        </w:r>
      </w:hyperlink>
    </w:p>
    <w:p w:rsidR="00D67885" w:rsidRDefault="00D67885" w:rsidP="00D67885">
      <w:pPr>
        <w:pStyle w:val="jcg"/>
        <w:jc w:val="both"/>
        <w:rPr>
          <w:rFonts w:ascii="Calibri" w:hAnsi="Calibri" w:cs="Times New Roman"/>
          <w:b/>
          <w:sz w:val="20"/>
          <w:szCs w:val="20"/>
        </w:rPr>
      </w:pPr>
    </w:p>
    <w:p w:rsidR="00D67885" w:rsidRPr="001276DC" w:rsidRDefault="00D67885" w:rsidP="00D67885">
      <w:pPr>
        <w:pStyle w:val="jcg"/>
        <w:jc w:val="both"/>
        <w:rPr>
          <w:rFonts w:ascii="Calibri" w:hAnsi="Calibri" w:cs="Times New Roman"/>
          <w:b/>
          <w:sz w:val="20"/>
          <w:szCs w:val="20"/>
        </w:rPr>
      </w:pPr>
      <w:r w:rsidRPr="001276DC">
        <w:rPr>
          <w:rFonts w:ascii="Calibri" w:hAnsi="Calibri" w:cs="Times New Roman"/>
          <w:b/>
          <w:sz w:val="20"/>
          <w:szCs w:val="20"/>
        </w:rPr>
        <w:t xml:space="preserve">Le laboratoire ICUBE (UMR CNRS </w:t>
      </w:r>
      <w:r w:rsidRPr="001276DC">
        <w:rPr>
          <w:rFonts w:ascii="Calibri" w:hAnsi="Calibri"/>
          <w:b/>
          <w:bCs/>
          <w:sz w:val="20"/>
          <w:szCs w:val="20"/>
          <w:lang w:eastAsia="fr-FR"/>
        </w:rPr>
        <w:t>7357</w:t>
      </w:r>
      <w:r w:rsidRPr="001276DC">
        <w:rPr>
          <w:rFonts w:ascii="Calibri" w:hAnsi="Calibri" w:cs="Times New Roman"/>
          <w:b/>
          <w:sz w:val="20"/>
          <w:szCs w:val="20"/>
        </w:rPr>
        <w:t>)</w:t>
      </w:r>
    </w:p>
    <w:p w:rsidR="00D67885" w:rsidRPr="001276DC" w:rsidRDefault="00D67885" w:rsidP="00D67885">
      <w:pPr>
        <w:autoSpaceDE w:val="0"/>
        <w:autoSpaceDN w:val="0"/>
        <w:adjustRightInd w:val="0"/>
        <w:jc w:val="both"/>
        <w:rPr>
          <w:rFonts w:ascii="Calibri" w:eastAsia="Calibri" w:hAnsi="Calibri"/>
          <w:sz w:val="20"/>
          <w:szCs w:val="20"/>
          <w:lang w:eastAsia="en-US"/>
        </w:rPr>
      </w:pPr>
      <w:r w:rsidRPr="001276DC">
        <w:rPr>
          <w:rFonts w:ascii="Calibri" w:hAnsi="Calibri"/>
          <w:bCs/>
          <w:sz w:val="20"/>
          <w:szCs w:val="20"/>
          <w:lang w:eastAsia="fr-FR"/>
        </w:rPr>
        <w:t xml:space="preserve">ICube, </w:t>
      </w:r>
      <w:r w:rsidRPr="001276DC">
        <w:rPr>
          <w:rFonts w:ascii="Calibri" w:hAnsi="Calibri"/>
          <w:sz w:val="20"/>
          <w:szCs w:val="20"/>
          <w:lang w:eastAsia="fr-FR"/>
        </w:rPr>
        <w:t xml:space="preserve">le laboratoire des sciences de l’Ingénieur, de l’Informatique et de l’Imagerie, est une unité de mixte de recherche </w:t>
      </w:r>
      <w:r w:rsidRPr="001276DC">
        <w:rPr>
          <w:rFonts w:ascii="Calibri" w:hAnsi="Calibri"/>
          <w:bCs/>
          <w:sz w:val="20"/>
          <w:szCs w:val="20"/>
          <w:lang w:eastAsia="fr-FR"/>
        </w:rPr>
        <w:t>(UMR 7357)</w:t>
      </w:r>
      <w:r w:rsidRPr="001276DC">
        <w:rPr>
          <w:rFonts w:ascii="Calibri" w:hAnsi="Calibri"/>
          <w:sz w:val="20"/>
          <w:szCs w:val="20"/>
          <w:lang w:eastAsia="fr-FR"/>
        </w:rPr>
        <w:t xml:space="preserve"> née au 1er janvier 2013 d’une fusion, ayant l’imagerie pour thème fédérateur,  de 4 laboratoires de recherche associés au CNRS : le LSIIT (UMR 7005), l’InESS (UMR 7163), l’IMFS (FRE 3240) et l’Equipe Imagerie in Vivo du LINC-IPB (UMR 7237). ICube est un laboratoire de recherche pluridisciplinaire sous la co-tutelle du CNRS, de l’Université de Strasbourg, de l’Ecole Nationale du Génie de l’Eau et de l’Environnement de Strasbourg,  et de l’Institut National des Sciences Appliquées de Strasbourg. Le laboratoire compte près de 230 permanents, dont environ 200 chercheurs, enseignants-chercheurs et ingénieurs de recherche. </w:t>
      </w:r>
      <w:r w:rsidRPr="001276DC">
        <w:rPr>
          <w:rFonts w:ascii="Calibri" w:hAnsi="Calibri"/>
          <w:sz w:val="20"/>
          <w:szCs w:val="20"/>
        </w:rPr>
        <w:t>ICube est un acteur majeur de la recherche à l’interface entre le monde numérique et le monde physique</w:t>
      </w:r>
      <w:r w:rsidRPr="001276DC">
        <w:rPr>
          <w:rFonts w:ascii="Calibri" w:hAnsi="Calibri"/>
          <w:sz w:val="20"/>
          <w:szCs w:val="20"/>
          <w:lang w:eastAsia="fr-FR"/>
        </w:rPr>
        <w:t>. Son département d’Informatique et celui d’</w:t>
      </w:r>
      <w:r w:rsidRPr="001276DC">
        <w:rPr>
          <w:rFonts w:ascii="Calibri" w:hAnsi="Calibri"/>
          <w:bCs/>
          <w:sz w:val="20"/>
          <w:szCs w:val="20"/>
        </w:rPr>
        <w:t>Imagerie, Robotique, Télédétection &amp; Santé disposent, entre autres, de plateformes expérimentales pour la numérisation 3D, la modélisation, la reconstruction 3D et la métrologie et conduisent des recherches en amont dans le domaine de la Vision par Ordinateur et de l’imagerie.</w:t>
      </w:r>
    </w:p>
    <w:p w:rsidR="00D67885" w:rsidRPr="001276DC" w:rsidRDefault="00D67885" w:rsidP="00D67885">
      <w:pPr>
        <w:pStyle w:val="jcg"/>
        <w:jc w:val="both"/>
        <w:rPr>
          <w:rFonts w:ascii="Calibri" w:hAnsi="Calibri" w:cs="Times New Roman"/>
          <w:sz w:val="20"/>
          <w:szCs w:val="20"/>
        </w:rPr>
      </w:pPr>
    </w:p>
    <w:p w:rsidR="00D67885" w:rsidRPr="001276DC" w:rsidRDefault="00D67885" w:rsidP="00D67885">
      <w:pPr>
        <w:pStyle w:val="jcg"/>
        <w:jc w:val="both"/>
        <w:rPr>
          <w:rFonts w:ascii="Calibri" w:hAnsi="Calibri" w:cs="Times New Roman"/>
          <w:sz w:val="20"/>
          <w:szCs w:val="20"/>
        </w:rPr>
      </w:pPr>
      <w:r w:rsidRPr="001276DC">
        <w:rPr>
          <w:rFonts w:ascii="Calibri" w:hAnsi="Calibri" w:cs="Times New Roman"/>
          <w:sz w:val="20"/>
          <w:szCs w:val="20"/>
        </w:rPr>
        <w:t xml:space="preserve">Liens : ICube : </w:t>
      </w:r>
      <w:hyperlink r:id="rId6" w:history="1">
        <w:r w:rsidRPr="001276DC">
          <w:rPr>
            <w:rStyle w:val="Hyperlink"/>
            <w:rFonts w:ascii="Calibri" w:hAnsi="Calibri" w:cs="Times New Roman"/>
            <w:sz w:val="20"/>
            <w:szCs w:val="20"/>
          </w:rPr>
          <w:t>http://icube.unistra.fr</w:t>
        </w:r>
      </w:hyperlink>
    </w:p>
    <w:p w:rsidR="00D67885" w:rsidRPr="001276DC" w:rsidRDefault="00D67885" w:rsidP="00D67885">
      <w:pPr>
        <w:pStyle w:val="jcg"/>
        <w:jc w:val="both"/>
        <w:rPr>
          <w:rFonts w:ascii="Calibri" w:hAnsi="Calibri" w:cs="Times New Roman"/>
          <w:b/>
          <w:sz w:val="20"/>
          <w:szCs w:val="20"/>
        </w:rPr>
      </w:pPr>
    </w:p>
    <w:p w:rsidR="00D67885" w:rsidRPr="001276DC" w:rsidRDefault="00D67885" w:rsidP="00D67885">
      <w:pPr>
        <w:rPr>
          <w:rFonts w:ascii="Calibri" w:hAnsi="Calibri" w:cs="Calibri"/>
          <w:sz w:val="20"/>
          <w:szCs w:val="20"/>
        </w:rPr>
      </w:pPr>
    </w:p>
    <w:p w:rsidR="00912DDA" w:rsidRDefault="00D67885"/>
    <w:sectPr w:rsidR="00912DDA" w:rsidSect="002A6B98">
      <w:headerReference w:type="even" r:id="rId7"/>
      <w:headerReference w:type="default" r:id="rId8"/>
      <w:footerReference w:type="even" r:id="rId9"/>
      <w:footerReference w:type="default" r:id="rId10"/>
      <w:headerReference w:type="first" r:id="rId11"/>
      <w:footerReference w:type="first" r:id="rId12"/>
      <w:pgSz w:w="11906" w:h="16838" w:code="9"/>
      <w:pgMar w:top="851" w:right="849" w:bottom="993" w:left="993" w:header="510" w:footer="510"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6C" w:rsidRDefault="00D6788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6C" w:rsidRDefault="00D67885">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6C" w:rsidRDefault="00D67885">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6C" w:rsidRDefault="00D6788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6C" w:rsidRPr="00271865" w:rsidRDefault="00D67885" w:rsidP="003672F9">
    <w:pPr>
      <w:tabs>
        <w:tab w:val="left" w:pos="0"/>
        <w:tab w:val="left" w:pos="1985"/>
      </w:tabs>
      <w:rPr>
        <w:rFonts w:eastAsia="Batang"/>
        <w:bCs/>
        <w:color w:val="CC99FF"/>
        <w:szCs w:val="36"/>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6C" w:rsidRDefault="00D678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67885"/>
    <w:rsid w:val="00D67885"/>
  </w:rsids>
  <m:mathPr>
    <m:mathFont m:val="@ＭＳ ゴシック"/>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85"/>
    <w:pPr>
      <w:spacing w:after="0"/>
    </w:pPr>
    <w:rPr>
      <w:rFonts w:ascii="Times New Roman" w:eastAsia="Times New Roman" w:hAnsi="Times New Roman" w:cs="Times New Roman"/>
      <w:lang w:eastAsia="zh-CN"/>
    </w:rPr>
  </w:style>
  <w:style w:type="paragraph" w:styleId="Heading1">
    <w:name w:val="heading 1"/>
    <w:basedOn w:val="Normal"/>
    <w:next w:val="Normal"/>
    <w:link w:val="Heading1Char"/>
    <w:qFormat/>
    <w:rsid w:val="00D67885"/>
    <w:pPr>
      <w:keepNext/>
      <w:spacing w:before="120" w:after="60"/>
      <w:jc w:val="both"/>
      <w:outlineLvl w:val="0"/>
    </w:pPr>
    <w:rPr>
      <w:rFonts w:ascii="Palatino" w:hAnsi="Palatino"/>
      <w:b/>
      <w:kern w:val="28"/>
      <w:szCs w:val="20"/>
      <w:lang w:eastAsia="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67885"/>
    <w:rPr>
      <w:rFonts w:ascii="Palatino" w:eastAsia="Times New Roman" w:hAnsi="Palatino" w:cs="Times New Roman"/>
      <w:b/>
      <w:kern w:val="28"/>
      <w:szCs w:val="20"/>
      <w:lang w:eastAsia="fr-FR"/>
    </w:rPr>
  </w:style>
  <w:style w:type="paragraph" w:styleId="Header">
    <w:name w:val="header"/>
    <w:basedOn w:val="Normal"/>
    <w:link w:val="HeaderChar"/>
    <w:rsid w:val="00D67885"/>
    <w:pPr>
      <w:tabs>
        <w:tab w:val="center" w:pos="4536"/>
        <w:tab w:val="right" w:pos="9072"/>
      </w:tabs>
    </w:pPr>
  </w:style>
  <w:style w:type="character" w:customStyle="1" w:styleId="HeaderChar">
    <w:name w:val="Header Char"/>
    <w:basedOn w:val="DefaultParagraphFont"/>
    <w:link w:val="Header"/>
    <w:rsid w:val="00D67885"/>
    <w:rPr>
      <w:rFonts w:ascii="Times New Roman" w:eastAsia="Times New Roman" w:hAnsi="Times New Roman" w:cs="Times New Roman"/>
      <w:lang w:eastAsia="zh-CN"/>
    </w:rPr>
  </w:style>
  <w:style w:type="paragraph" w:styleId="Footer">
    <w:name w:val="footer"/>
    <w:basedOn w:val="Normal"/>
    <w:link w:val="FooterChar"/>
    <w:rsid w:val="00D67885"/>
    <w:pPr>
      <w:tabs>
        <w:tab w:val="center" w:pos="4536"/>
        <w:tab w:val="right" w:pos="9072"/>
      </w:tabs>
    </w:pPr>
  </w:style>
  <w:style w:type="character" w:customStyle="1" w:styleId="FooterChar">
    <w:name w:val="Footer Char"/>
    <w:basedOn w:val="DefaultParagraphFont"/>
    <w:link w:val="Footer"/>
    <w:rsid w:val="00D67885"/>
    <w:rPr>
      <w:rFonts w:ascii="Times New Roman" w:eastAsia="Times New Roman" w:hAnsi="Times New Roman" w:cs="Times New Roman"/>
      <w:lang w:eastAsia="zh-CN"/>
    </w:rPr>
  </w:style>
  <w:style w:type="paragraph" w:customStyle="1" w:styleId="jcg">
    <w:name w:val="jcg"/>
    <w:basedOn w:val="Normal"/>
    <w:rsid w:val="00D67885"/>
    <w:rPr>
      <w:rFonts w:ascii="Trebuchet MS" w:hAnsi="Trebuchet MS" w:cs="Trebuchet MS"/>
    </w:rPr>
  </w:style>
  <w:style w:type="character" w:styleId="Hyperlink">
    <w:name w:val="Hyperlink"/>
    <w:rsid w:val="00D67885"/>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le2i.cnrs.fr" TargetMode="External"/><Relationship Id="rId5" Type="http://schemas.openxmlformats.org/officeDocument/2006/relationships/hyperlink" Target="http://www.artehis-cnrs.fr/L-unite" TargetMode="External"/><Relationship Id="rId6" Type="http://schemas.openxmlformats.org/officeDocument/2006/relationships/hyperlink" Target="http://icube.unistra.fr"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Alamin MANSOURI</dc:creator>
  <cp:keywords/>
  <cp:lastModifiedBy>Alamin MANSOURI</cp:lastModifiedBy>
  <cp:revision>1</cp:revision>
  <dcterms:created xsi:type="dcterms:W3CDTF">2013-02-17T19:39:00Z</dcterms:created>
  <dcterms:modified xsi:type="dcterms:W3CDTF">2013-02-17T19:40:00Z</dcterms:modified>
</cp:coreProperties>
</file>